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29" w:rsidRPr="007C6106" w:rsidRDefault="00F41829" w:rsidP="00F41829">
      <w:pPr>
        <w:pStyle w:val="HTML-wstpniesformatowany"/>
        <w:shd w:val="clear" w:color="auto" w:fill="F8F9FA"/>
        <w:spacing w:line="360" w:lineRule="atLeast"/>
        <w:jc w:val="both"/>
        <w:rPr>
          <w:rFonts w:asciiTheme="minorHAnsi" w:hAnsiTheme="minorHAnsi" w:cs="Segoe UI"/>
          <w:b/>
          <w:sz w:val="28"/>
          <w:szCs w:val="28"/>
        </w:rPr>
      </w:pPr>
      <w:r w:rsidRPr="007C6106">
        <w:rPr>
          <w:rFonts w:asciiTheme="minorHAnsi" w:hAnsiTheme="minorHAnsi" w:cs="Segoe UI"/>
          <w:b/>
          <w:sz w:val="28"/>
          <w:szCs w:val="28"/>
        </w:rPr>
        <w:t xml:space="preserve">Potrójne </w:t>
      </w:r>
      <w:r w:rsidR="00845F8F" w:rsidRPr="007C6106">
        <w:rPr>
          <w:rFonts w:asciiTheme="minorHAnsi" w:hAnsiTheme="minorHAnsi" w:cs="Segoe UI"/>
          <w:b/>
          <w:sz w:val="28"/>
          <w:szCs w:val="28"/>
        </w:rPr>
        <w:t>skojarzenie</w:t>
      </w:r>
      <w:r w:rsidRPr="007C6106">
        <w:rPr>
          <w:rFonts w:asciiTheme="minorHAnsi" w:hAnsiTheme="minorHAnsi" w:cs="Segoe UI"/>
          <w:b/>
          <w:sz w:val="28"/>
          <w:szCs w:val="28"/>
        </w:rPr>
        <w:t xml:space="preserve"> interferonu beta-1b, </w:t>
      </w:r>
      <w:proofErr w:type="spellStart"/>
      <w:r w:rsidRPr="007C6106">
        <w:rPr>
          <w:rFonts w:asciiTheme="minorHAnsi" w:hAnsiTheme="minorHAnsi" w:cs="Segoe UI"/>
          <w:b/>
          <w:sz w:val="28"/>
          <w:szCs w:val="28"/>
        </w:rPr>
        <w:t>lopinaviru-ritonaviru</w:t>
      </w:r>
      <w:proofErr w:type="spellEnd"/>
      <w:r w:rsidRPr="007C6106">
        <w:rPr>
          <w:rFonts w:asciiTheme="minorHAnsi" w:hAnsiTheme="minorHAnsi" w:cs="Segoe UI"/>
          <w:b/>
          <w:sz w:val="28"/>
          <w:szCs w:val="28"/>
        </w:rPr>
        <w:t xml:space="preserve"> i </w:t>
      </w:r>
      <w:proofErr w:type="spellStart"/>
      <w:r w:rsidRPr="007C6106">
        <w:rPr>
          <w:rFonts w:asciiTheme="minorHAnsi" w:hAnsiTheme="minorHAnsi" w:cs="Segoe UI"/>
          <w:b/>
          <w:sz w:val="28"/>
          <w:szCs w:val="28"/>
        </w:rPr>
        <w:t>ribaviryny</w:t>
      </w:r>
      <w:proofErr w:type="spellEnd"/>
      <w:r w:rsidRPr="007C6106">
        <w:rPr>
          <w:rFonts w:asciiTheme="minorHAnsi" w:hAnsiTheme="minorHAnsi" w:cs="Segoe UI"/>
          <w:b/>
          <w:sz w:val="28"/>
          <w:szCs w:val="28"/>
        </w:rPr>
        <w:t xml:space="preserve"> w leczeniu pacjentów przyjętych do szpitala z powodu COVID-19: otwarte, </w:t>
      </w:r>
      <w:proofErr w:type="spellStart"/>
      <w:r w:rsidRPr="007C6106">
        <w:rPr>
          <w:rFonts w:asciiTheme="minorHAnsi" w:hAnsiTheme="minorHAnsi" w:cs="Segoe UI"/>
          <w:b/>
          <w:sz w:val="28"/>
          <w:szCs w:val="28"/>
        </w:rPr>
        <w:t>randomizowane</w:t>
      </w:r>
      <w:proofErr w:type="spellEnd"/>
      <w:r w:rsidRPr="007C6106">
        <w:rPr>
          <w:rFonts w:asciiTheme="minorHAnsi" w:hAnsiTheme="minorHAnsi" w:cs="Segoe UI"/>
          <w:b/>
          <w:sz w:val="28"/>
          <w:szCs w:val="28"/>
        </w:rPr>
        <w:t xml:space="preserve"> badanie II fazy.</w:t>
      </w:r>
    </w:p>
    <w:p w:rsidR="00F41829" w:rsidRPr="007C6106" w:rsidRDefault="00F41829" w:rsidP="00F41829">
      <w:pPr>
        <w:pStyle w:val="Nagwek1"/>
        <w:shd w:val="clear" w:color="auto" w:fill="FFFFFF"/>
        <w:rPr>
          <w:rFonts w:asciiTheme="minorHAnsi" w:eastAsia="Times New Roman" w:hAnsiTheme="minorHAnsi" w:cs="Segoe UI"/>
          <w:b w:val="0"/>
          <w:bCs w:val="0"/>
          <w:i/>
          <w:color w:val="auto"/>
          <w:sz w:val="24"/>
          <w:szCs w:val="16"/>
          <w:lang w:eastAsia="pl-PL"/>
        </w:rPr>
      </w:pPr>
      <w:r w:rsidRPr="007C6106">
        <w:rPr>
          <w:rFonts w:asciiTheme="minorHAnsi" w:eastAsia="Times New Roman" w:hAnsiTheme="minorHAnsi" w:cs="Segoe UI"/>
          <w:i/>
          <w:color w:val="auto"/>
          <w:sz w:val="24"/>
          <w:szCs w:val="16"/>
          <w:lang w:eastAsia="pl-PL"/>
        </w:rPr>
        <w:t>Lancet</w:t>
      </w:r>
      <w:r w:rsidRPr="007C6106">
        <w:rPr>
          <w:rFonts w:asciiTheme="minorHAnsi" w:eastAsia="Times New Roman" w:hAnsiTheme="minorHAnsi" w:cs="Segoe UI"/>
          <w:i/>
          <w:color w:val="auto"/>
          <w:sz w:val="24"/>
          <w:lang w:eastAsia="pl-PL"/>
        </w:rPr>
        <w:t>. 2020 May 30;395(10238):1695-1704</w:t>
      </w:r>
    </w:p>
    <w:p w:rsidR="00F41829" w:rsidRPr="00845F8F" w:rsidRDefault="00845F8F" w:rsidP="00D32AA7">
      <w:pPr>
        <w:shd w:val="clear" w:color="auto" w:fill="FFFFFF"/>
        <w:spacing w:before="100" w:beforeAutospacing="1" w:after="100" w:afterAutospacing="1"/>
        <w:jc w:val="both"/>
        <w:rPr>
          <w:rFonts w:eastAsia="Times New Roman" w:cs="Segoe UI"/>
          <w:color w:val="212121"/>
          <w:sz w:val="24"/>
          <w:szCs w:val="16"/>
          <w:lang w:eastAsia="pl-PL"/>
        </w:rPr>
      </w:pPr>
      <w:r>
        <w:br/>
      </w:r>
      <w:r w:rsidRPr="00DE12B9">
        <w:rPr>
          <w:rFonts w:eastAsia="Times New Roman" w:cs="Segoe UI"/>
          <w:b/>
          <w:color w:val="212121"/>
          <w:sz w:val="24"/>
          <w:szCs w:val="16"/>
          <w:u w:val="single"/>
          <w:lang w:eastAsia="pl-PL"/>
        </w:rPr>
        <w:t>Wstęp</w:t>
      </w:r>
      <w:r w:rsidRPr="00D32AA7">
        <w:rPr>
          <w:rFonts w:eastAsia="Times New Roman" w:cs="Segoe UI"/>
          <w:color w:val="212121"/>
          <w:sz w:val="24"/>
          <w:szCs w:val="16"/>
          <w:lang w:eastAsia="pl-PL"/>
        </w:rPr>
        <w:t>:</w:t>
      </w:r>
      <w:r w:rsidRPr="00845F8F">
        <w:rPr>
          <w:rFonts w:eastAsia="Times New Roman" w:cs="Segoe UI"/>
          <w:color w:val="212121"/>
          <w:sz w:val="24"/>
          <w:szCs w:val="16"/>
          <w:lang w:eastAsia="pl-PL"/>
        </w:rPr>
        <w:t xml:space="preserve"> Skuteczna terapia antywirusowa jest ważna w walce z pandemią </w:t>
      </w:r>
      <w:proofErr w:type="spellStart"/>
      <w:r w:rsidRPr="00845F8F">
        <w:rPr>
          <w:rFonts w:eastAsia="Times New Roman" w:cs="Segoe UI"/>
          <w:color w:val="212121"/>
          <w:sz w:val="24"/>
          <w:szCs w:val="16"/>
          <w:lang w:eastAsia="pl-PL"/>
        </w:rPr>
        <w:t>koronawirusa</w:t>
      </w:r>
      <w:proofErr w:type="spellEnd"/>
      <w:r w:rsidRPr="00845F8F">
        <w:rPr>
          <w:rFonts w:eastAsia="Times New Roman" w:cs="Segoe UI"/>
          <w:color w:val="212121"/>
          <w:sz w:val="24"/>
          <w:szCs w:val="16"/>
          <w:lang w:eastAsia="pl-PL"/>
        </w:rPr>
        <w:t xml:space="preserve"> 2019 (COVID-19). Oceniono skuteczność i bezpieczeństwo skojarzonego stosowania interferonu beta-1b, </w:t>
      </w:r>
      <w:proofErr w:type="spellStart"/>
      <w:r w:rsidRPr="00845F8F">
        <w:rPr>
          <w:rFonts w:eastAsia="Times New Roman" w:cs="Segoe UI"/>
          <w:color w:val="212121"/>
          <w:sz w:val="24"/>
          <w:szCs w:val="16"/>
          <w:lang w:eastAsia="pl-PL"/>
        </w:rPr>
        <w:t>lopinawiru-rytonawiru</w:t>
      </w:r>
      <w:proofErr w:type="spellEnd"/>
      <w:r w:rsidRPr="00845F8F">
        <w:rPr>
          <w:rFonts w:eastAsia="Times New Roman" w:cs="Segoe UI"/>
          <w:color w:val="212121"/>
          <w:sz w:val="24"/>
          <w:szCs w:val="16"/>
          <w:lang w:eastAsia="pl-PL"/>
        </w:rPr>
        <w:t xml:space="preserve"> i </w:t>
      </w:r>
      <w:proofErr w:type="spellStart"/>
      <w:r w:rsidRPr="00845F8F">
        <w:rPr>
          <w:rFonts w:eastAsia="Times New Roman" w:cs="Segoe UI"/>
          <w:color w:val="212121"/>
          <w:sz w:val="24"/>
          <w:szCs w:val="16"/>
          <w:lang w:eastAsia="pl-PL"/>
        </w:rPr>
        <w:t>rybawiryny</w:t>
      </w:r>
      <w:proofErr w:type="spellEnd"/>
      <w:r w:rsidRPr="00845F8F">
        <w:rPr>
          <w:rFonts w:eastAsia="Times New Roman" w:cs="Segoe UI"/>
          <w:color w:val="212121"/>
          <w:sz w:val="24"/>
          <w:szCs w:val="16"/>
          <w:lang w:eastAsia="pl-PL"/>
        </w:rPr>
        <w:t xml:space="preserve"> w leczeniu pacjentów z COVID-19</w:t>
      </w:r>
      <w:r w:rsidR="00DB41E9">
        <w:rPr>
          <w:rFonts w:eastAsia="Times New Roman" w:cs="Segoe UI"/>
          <w:color w:val="212121"/>
          <w:sz w:val="24"/>
          <w:szCs w:val="16"/>
          <w:lang w:eastAsia="pl-PL"/>
        </w:rPr>
        <w:t>.</w:t>
      </w:r>
    </w:p>
    <w:p w:rsidR="00DB41E9" w:rsidRDefault="00845F8F" w:rsidP="006E0E10">
      <w:pPr>
        <w:pStyle w:val="HTML-wstpniesformatowany"/>
        <w:shd w:val="clear" w:color="auto" w:fill="F8F9FA"/>
        <w:spacing w:line="360" w:lineRule="atLeast"/>
        <w:jc w:val="both"/>
        <w:rPr>
          <w:rFonts w:asciiTheme="minorHAnsi" w:hAnsiTheme="minorHAnsi" w:cs="Segoe UI"/>
          <w:color w:val="212121"/>
          <w:sz w:val="24"/>
          <w:szCs w:val="16"/>
        </w:rPr>
      </w:pPr>
      <w:r w:rsidRPr="00DE12B9">
        <w:rPr>
          <w:rFonts w:asciiTheme="minorHAnsi" w:hAnsiTheme="minorHAnsi" w:cs="Segoe UI"/>
          <w:b/>
          <w:color w:val="212121"/>
          <w:sz w:val="24"/>
          <w:szCs w:val="16"/>
          <w:u w:val="single"/>
        </w:rPr>
        <w:t>Metody</w:t>
      </w:r>
      <w:r>
        <w:rPr>
          <w:rFonts w:asciiTheme="minorHAnsi" w:hAnsiTheme="minorHAnsi" w:cs="Segoe UI"/>
          <w:color w:val="212121"/>
          <w:sz w:val="24"/>
          <w:szCs w:val="16"/>
        </w:rPr>
        <w:t>: W</w:t>
      </w:r>
      <w:r w:rsidRPr="00845F8F">
        <w:rPr>
          <w:rFonts w:asciiTheme="minorHAnsi" w:hAnsiTheme="minorHAnsi" w:cs="Segoe UI"/>
          <w:color w:val="212121"/>
          <w:sz w:val="24"/>
          <w:szCs w:val="16"/>
        </w:rPr>
        <w:t xml:space="preserve">ieloośrodkowe, prospektywne, otwarte, </w:t>
      </w:r>
      <w:proofErr w:type="spellStart"/>
      <w:r w:rsidRPr="00845F8F">
        <w:rPr>
          <w:rFonts w:asciiTheme="minorHAnsi" w:hAnsiTheme="minorHAnsi" w:cs="Segoe UI"/>
          <w:color w:val="212121"/>
          <w:sz w:val="24"/>
          <w:szCs w:val="16"/>
        </w:rPr>
        <w:t>randomizowane</w:t>
      </w:r>
      <w:proofErr w:type="spellEnd"/>
      <w:r w:rsidRPr="00845F8F">
        <w:rPr>
          <w:rFonts w:asciiTheme="minorHAnsi" w:hAnsiTheme="minorHAnsi" w:cs="Segoe UI"/>
          <w:color w:val="212121"/>
          <w:sz w:val="24"/>
          <w:szCs w:val="16"/>
        </w:rPr>
        <w:t xml:space="preserve"> badanie fazy 2 </w:t>
      </w:r>
      <w:r>
        <w:rPr>
          <w:rFonts w:asciiTheme="minorHAnsi" w:hAnsiTheme="minorHAnsi" w:cs="Segoe UI"/>
          <w:color w:val="212121"/>
          <w:sz w:val="24"/>
          <w:szCs w:val="16"/>
        </w:rPr>
        <w:t>zostało przeprowadzone</w:t>
      </w:r>
      <w:r w:rsidR="00DB41E9">
        <w:rPr>
          <w:rFonts w:asciiTheme="minorHAnsi" w:hAnsiTheme="minorHAnsi" w:cs="Segoe UI"/>
          <w:color w:val="212121"/>
          <w:sz w:val="24"/>
          <w:szCs w:val="16"/>
        </w:rPr>
        <w:t xml:space="preserve"> </w:t>
      </w:r>
      <w:r w:rsidRPr="00845F8F">
        <w:rPr>
          <w:rFonts w:asciiTheme="minorHAnsi" w:hAnsiTheme="minorHAnsi" w:cs="Segoe UI"/>
          <w:color w:val="212121"/>
          <w:sz w:val="24"/>
          <w:szCs w:val="16"/>
        </w:rPr>
        <w:t xml:space="preserve">z udziałem osób dorosłych z COVID-19, którzy zostali przyjęci do sześciu szpitali w Hongkongu. Pacjenci zostali losowo przydzieleni (2: 1) do </w:t>
      </w:r>
      <w:r>
        <w:rPr>
          <w:rFonts w:asciiTheme="minorHAnsi" w:hAnsiTheme="minorHAnsi" w:cs="Segoe UI"/>
          <w:color w:val="212121"/>
          <w:sz w:val="24"/>
          <w:szCs w:val="16"/>
        </w:rPr>
        <w:t xml:space="preserve">poszczególnych grup </w:t>
      </w:r>
      <w:r w:rsidR="00DB41E9">
        <w:rPr>
          <w:rFonts w:asciiTheme="minorHAnsi" w:hAnsiTheme="minorHAnsi" w:cs="Segoe UI"/>
          <w:color w:val="212121"/>
          <w:sz w:val="24"/>
          <w:szCs w:val="16"/>
        </w:rPr>
        <w:br/>
      </w:r>
      <w:r>
        <w:rPr>
          <w:rFonts w:asciiTheme="minorHAnsi" w:hAnsiTheme="minorHAnsi" w:cs="Segoe UI"/>
          <w:color w:val="212121"/>
          <w:sz w:val="24"/>
          <w:szCs w:val="16"/>
        </w:rPr>
        <w:t>w zależności od zastosowanego schematu terapeut</w:t>
      </w:r>
      <w:r w:rsidR="00DB41E9">
        <w:rPr>
          <w:rFonts w:asciiTheme="minorHAnsi" w:hAnsiTheme="minorHAnsi" w:cs="Segoe UI"/>
          <w:color w:val="212121"/>
          <w:sz w:val="24"/>
          <w:szCs w:val="16"/>
        </w:rPr>
        <w:t xml:space="preserve">ycznego:  </w:t>
      </w:r>
    </w:p>
    <w:p w:rsidR="00DB41E9" w:rsidRDefault="00DB41E9" w:rsidP="00DB41E9">
      <w:pPr>
        <w:pStyle w:val="HTML-wstpniesformatowany"/>
        <w:numPr>
          <w:ilvl w:val="0"/>
          <w:numId w:val="2"/>
        </w:numPr>
        <w:shd w:val="clear" w:color="auto" w:fill="F8F9FA"/>
        <w:spacing w:line="360" w:lineRule="atLeast"/>
        <w:jc w:val="both"/>
        <w:rPr>
          <w:rFonts w:asciiTheme="minorHAnsi" w:hAnsiTheme="minorHAnsi" w:cs="Segoe UI"/>
          <w:color w:val="212121"/>
          <w:sz w:val="24"/>
          <w:szCs w:val="16"/>
        </w:rPr>
      </w:pPr>
      <w:r>
        <w:rPr>
          <w:rFonts w:asciiTheme="minorHAnsi" w:hAnsiTheme="minorHAnsi" w:cs="Segoe UI"/>
          <w:color w:val="212121"/>
          <w:sz w:val="24"/>
          <w:szCs w:val="16"/>
        </w:rPr>
        <w:t xml:space="preserve">grupa skojarzona </w:t>
      </w:r>
      <w:r w:rsidR="00DE12B9">
        <w:rPr>
          <w:rFonts w:asciiTheme="minorHAnsi" w:hAnsiTheme="minorHAnsi" w:cs="Segoe UI"/>
          <w:color w:val="212121"/>
          <w:sz w:val="24"/>
          <w:szCs w:val="16"/>
        </w:rPr>
        <w:t>-</w:t>
      </w:r>
      <w:r>
        <w:rPr>
          <w:rFonts w:asciiTheme="minorHAnsi" w:hAnsiTheme="minorHAnsi" w:cs="Segoe UI"/>
          <w:color w:val="212121"/>
          <w:sz w:val="24"/>
          <w:szCs w:val="16"/>
        </w:rPr>
        <w:t xml:space="preserve"> 14 </w:t>
      </w:r>
      <w:r w:rsidR="00845F8F">
        <w:rPr>
          <w:rFonts w:asciiTheme="minorHAnsi" w:hAnsiTheme="minorHAnsi" w:cs="Segoe UI"/>
          <w:color w:val="212121"/>
          <w:sz w:val="24"/>
          <w:szCs w:val="16"/>
        </w:rPr>
        <w:t xml:space="preserve">dni leczenia </w:t>
      </w:r>
      <w:proofErr w:type="spellStart"/>
      <w:r w:rsidR="00845F8F">
        <w:rPr>
          <w:rFonts w:asciiTheme="minorHAnsi" w:hAnsiTheme="minorHAnsi" w:cs="Segoe UI"/>
          <w:color w:val="212121"/>
          <w:sz w:val="24"/>
          <w:szCs w:val="16"/>
        </w:rPr>
        <w:t>lopinawirem</w:t>
      </w:r>
      <w:proofErr w:type="spellEnd"/>
      <w:r w:rsidR="00845F8F">
        <w:rPr>
          <w:rFonts w:asciiTheme="minorHAnsi" w:hAnsiTheme="minorHAnsi" w:cs="Segoe UI"/>
          <w:color w:val="212121"/>
          <w:sz w:val="24"/>
          <w:szCs w:val="16"/>
        </w:rPr>
        <w:t xml:space="preserve"> 400 mg</w:t>
      </w:r>
      <w:r>
        <w:rPr>
          <w:rFonts w:asciiTheme="minorHAnsi" w:hAnsiTheme="minorHAnsi" w:cs="Segoe UI"/>
          <w:color w:val="212121"/>
          <w:sz w:val="24"/>
          <w:szCs w:val="16"/>
        </w:rPr>
        <w:t xml:space="preserve"> </w:t>
      </w:r>
      <w:r w:rsidR="00845F8F" w:rsidRPr="00845F8F">
        <w:rPr>
          <w:rFonts w:asciiTheme="minorHAnsi" w:hAnsiTheme="minorHAnsi" w:cs="Segoe UI"/>
          <w:color w:val="212121"/>
          <w:sz w:val="24"/>
          <w:szCs w:val="16"/>
        </w:rPr>
        <w:t xml:space="preserve">i </w:t>
      </w:r>
      <w:proofErr w:type="spellStart"/>
      <w:r>
        <w:rPr>
          <w:rFonts w:asciiTheme="minorHAnsi" w:hAnsiTheme="minorHAnsi" w:cs="Segoe UI"/>
          <w:color w:val="212121"/>
          <w:sz w:val="24"/>
          <w:szCs w:val="16"/>
        </w:rPr>
        <w:t>rytonawirem</w:t>
      </w:r>
      <w:proofErr w:type="spellEnd"/>
      <w:r>
        <w:rPr>
          <w:rFonts w:asciiTheme="minorHAnsi" w:hAnsiTheme="minorHAnsi" w:cs="Segoe UI"/>
          <w:color w:val="212121"/>
          <w:sz w:val="24"/>
          <w:szCs w:val="16"/>
        </w:rPr>
        <w:t xml:space="preserve"> 100 mg co 12 godz.</w:t>
      </w:r>
      <w:r w:rsidR="00845F8F">
        <w:rPr>
          <w:rFonts w:asciiTheme="minorHAnsi" w:hAnsiTheme="minorHAnsi" w:cs="Segoe UI"/>
          <w:color w:val="212121"/>
          <w:sz w:val="24"/>
          <w:szCs w:val="16"/>
        </w:rPr>
        <w:t xml:space="preserve">, wraz z </w:t>
      </w:r>
      <w:proofErr w:type="spellStart"/>
      <w:r w:rsidR="00845F8F">
        <w:rPr>
          <w:rFonts w:asciiTheme="minorHAnsi" w:hAnsiTheme="minorHAnsi" w:cs="Segoe UI"/>
          <w:color w:val="212121"/>
          <w:sz w:val="24"/>
          <w:szCs w:val="16"/>
        </w:rPr>
        <w:t>rybawiryną</w:t>
      </w:r>
      <w:proofErr w:type="spellEnd"/>
      <w:r>
        <w:rPr>
          <w:rFonts w:asciiTheme="minorHAnsi" w:hAnsiTheme="minorHAnsi" w:cs="Segoe UI"/>
          <w:color w:val="212121"/>
          <w:sz w:val="24"/>
          <w:szCs w:val="16"/>
        </w:rPr>
        <w:t xml:space="preserve"> 400 mg co 12 godz. oraz trzech dawek 8 mln j.m.</w:t>
      </w:r>
      <w:r w:rsidR="00845F8F" w:rsidRPr="00845F8F">
        <w:rPr>
          <w:rFonts w:asciiTheme="minorHAnsi" w:hAnsiTheme="minorHAnsi" w:cs="Segoe UI"/>
          <w:color w:val="212121"/>
          <w:sz w:val="24"/>
          <w:szCs w:val="16"/>
        </w:rPr>
        <w:t xml:space="preserve"> interferonu beta-1b co</w:t>
      </w:r>
      <w:r w:rsidR="00845F8F">
        <w:rPr>
          <w:rFonts w:asciiTheme="minorHAnsi" w:hAnsiTheme="minorHAnsi" w:cs="Segoe UI"/>
          <w:color w:val="212121"/>
          <w:sz w:val="24"/>
          <w:szCs w:val="16"/>
        </w:rPr>
        <w:t xml:space="preserve"> drugi dzień, </w:t>
      </w:r>
    </w:p>
    <w:p w:rsidR="00DB41E9" w:rsidRDefault="00845F8F" w:rsidP="00DB41E9">
      <w:pPr>
        <w:pStyle w:val="HTML-wstpniesformatowany"/>
        <w:numPr>
          <w:ilvl w:val="0"/>
          <w:numId w:val="2"/>
        </w:numPr>
        <w:shd w:val="clear" w:color="auto" w:fill="F8F9FA"/>
        <w:spacing w:line="360" w:lineRule="atLeast"/>
        <w:jc w:val="both"/>
        <w:rPr>
          <w:rFonts w:asciiTheme="minorHAnsi" w:hAnsiTheme="minorHAnsi" w:cs="Segoe UI"/>
          <w:color w:val="212121"/>
          <w:sz w:val="24"/>
          <w:szCs w:val="16"/>
        </w:rPr>
      </w:pPr>
      <w:r>
        <w:rPr>
          <w:rFonts w:asciiTheme="minorHAnsi" w:hAnsiTheme="minorHAnsi" w:cs="Segoe UI"/>
          <w:color w:val="212121"/>
          <w:sz w:val="24"/>
          <w:szCs w:val="16"/>
        </w:rPr>
        <w:t xml:space="preserve">grupa kontrolna </w:t>
      </w:r>
      <w:r w:rsidR="00DE12B9">
        <w:rPr>
          <w:rFonts w:asciiTheme="minorHAnsi" w:hAnsiTheme="minorHAnsi" w:cs="Segoe UI"/>
          <w:color w:val="212121"/>
          <w:sz w:val="24"/>
          <w:szCs w:val="16"/>
        </w:rPr>
        <w:t xml:space="preserve">- </w:t>
      </w:r>
      <w:r w:rsidRPr="00845F8F">
        <w:rPr>
          <w:rFonts w:asciiTheme="minorHAnsi" w:hAnsiTheme="minorHAnsi" w:cs="Segoe UI"/>
          <w:color w:val="212121"/>
          <w:sz w:val="24"/>
          <w:szCs w:val="16"/>
        </w:rPr>
        <w:t xml:space="preserve">14 dni </w:t>
      </w:r>
      <w:proofErr w:type="spellStart"/>
      <w:r w:rsidRPr="00845F8F">
        <w:rPr>
          <w:rFonts w:asciiTheme="minorHAnsi" w:hAnsiTheme="minorHAnsi" w:cs="Segoe UI"/>
          <w:color w:val="212121"/>
          <w:sz w:val="24"/>
          <w:szCs w:val="16"/>
        </w:rPr>
        <w:t>lopinawiru</w:t>
      </w:r>
      <w:proofErr w:type="spellEnd"/>
      <w:r w:rsidRPr="00845F8F">
        <w:rPr>
          <w:rFonts w:asciiTheme="minorHAnsi" w:hAnsiTheme="minorHAnsi" w:cs="Segoe UI"/>
          <w:color w:val="212121"/>
          <w:sz w:val="24"/>
          <w:szCs w:val="16"/>
        </w:rPr>
        <w:t xml:space="preserve"> 400 m</w:t>
      </w:r>
      <w:r w:rsidR="00DD0AFF">
        <w:rPr>
          <w:rFonts w:asciiTheme="minorHAnsi" w:hAnsiTheme="minorHAnsi" w:cs="Segoe UI"/>
          <w:color w:val="212121"/>
          <w:sz w:val="24"/>
          <w:szCs w:val="16"/>
        </w:rPr>
        <w:t>g i</w:t>
      </w:r>
      <w:r w:rsidRPr="00845F8F">
        <w:rPr>
          <w:rFonts w:asciiTheme="minorHAnsi" w:hAnsiTheme="minorHAnsi" w:cs="Segoe UI"/>
          <w:color w:val="212121"/>
          <w:sz w:val="24"/>
          <w:szCs w:val="16"/>
        </w:rPr>
        <w:t xml:space="preserve"> </w:t>
      </w:r>
      <w:proofErr w:type="spellStart"/>
      <w:r w:rsidRPr="00845F8F">
        <w:rPr>
          <w:rFonts w:asciiTheme="minorHAnsi" w:hAnsiTheme="minorHAnsi" w:cs="Segoe UI"/>
          <w:color w:val="212121"/>
          <w:sz w:val="24"/>
          <w:szCs w:val="16"/>
        </w:rPr>
        <w:t>rytonawiru</w:t>
      </w:r>
      <w:proofErr w:type="spellEnd"/>
      <w:r w:rsidRPr="00845F8F">
        <w:rPr>
          <w:rFonts w:asciiTheme="minorHAnsi" w:hAnsiTheme="minorHAnsi" w:cs="Segoe UI"/>
          <w:color w:val="212121"/>
          <w:sz w:val="24"/>
          <w:szCs w:val="16"/>
        </w:rPr>
        <w:t xml:space="preserve"> 100 m</w:t>
      </w:r>
      <w:r w:rsidR="00DE12B9">
        <w:rPr>
          <w:rFonts w:asciiTheme="minorHAnsi" w:hAnsiTheme="minorHAnsi" w:cs="Segoe UI"/>
          <w:color w:val="212121"/>
          <w:sz w:val="24"/>
          <w:szCs w:val="16"/>
        </w:rPr>
        <w:t>g co 12 godz</w:t>
      </w:r>
      <w:r w:rsidR="00DB41E9">
        <w:rPr>
          <w:rFonts w:asciiTheme="minorHAnsi" w:hAnsiTheme="minorHAnsi" w:cs="Segoe UI"/>
          <w:color w:val="212121"/>
          <w:sz w:val="24"/>
          <w:szCs w:val="16"/>
        </w:rPr>
        <w:t>.</w:t>
      </w:r>
    </w:p>
    <w:p w:rsidR="00DB41E9" w:rsidRDefault="00845F8F" w:rsidP="00DB41E9">
      <w:pPr>
        <w:pStyle w:val="HTML-wstpniesformatowany"/>
        <w:shd w:val="clear" w:color="auto" w:fill="F8F9FA"/>
        <w:spacing w:line="360" w:lineRule="atLeast"/>
        <w:jc w:val="both"/>
        <w:rPr>
          <w:rFonts w:asciiTheme="minorHAnsi" w:hAnsiTheme="minorHAnsi" w:cs="Segoe UI"/>
          <w:color w:val="212121"/>
          <w:sz w:val="24"/>
          <w:szCs w:val="16"/>
        </w:rPr>
      </w:pPr>
      <w:r w:rsidRPr="00845F8F">
        <w:rPr>
          <w:rFonts w:asciiTheme="minorHAnsi" w:hAnsiTheme="minorHAnsi" w:cs="Segoe UI"/>
          <w:color w:val="212121"/>
          <w:sz w:val="24"/>
          <w:szCs w:val="16"/>
        </w:rPr>
        <w:t xml:space="preserve">Pierwszorzędowym punktem końcowym był czas do </w:t>
      </w:r>
      <w:r>
        <w:rPr>
          <w:rFonts w:asciiTheme="minorHAnsi" w:hAnsiTheme="minorHAnsi" w:cs="Segoe UI"/>
          <w:color w:val="212121"/>
          <w:sz w:val="24"/>
          <w:szCs w:val="16"/>
        </w:rPr>
        <w:t>otrzymania ujemnego wyniki</w:t>
      </w:r>
      <w:r w:rsidRPr="00845F8F">
        <w:rPr>
          <w:rFonts w:asciiTheme="minorHAnsi" w:hAnsiTheme="minorHAnsi" w:cs="Segoe UI"/>
          <w:color w:val="212121"/>
          <w:sz w:val="24"/>
          <w:szCs w:val="16"/>
        </w:rPr>
        <w:t xml:space="preserve"> wymazu </w:t>
      </w:r>
      <w:r w:rsidR="00DB41E9">
        <w:rPr>
          <w:rFonts w:asciiTheme="minorHAnsi" w:hAnsiTheme="minorHAnsi" w:cs="Segoe UI"/>
          <w:color w:val="212121"/>
          <w:sz w:val="24"/>
          <w:szCs w:val="16"/>
        </w:rPr>
        <w:br/>
      </w:r>
      <w:r w:rsidRPr="00845F8F">
        <w:rPr>
          <w:rFonts w:asciiTheme="minorHAnsi" w:hAnsiTheme="minorHAnsi" w:cs="Segoe UI"/>
          <w:color w:val="212121"/>
          <w:sz w:val="24"/>
          <w:szCs w:val="16"/>
        </w:rPr>
        <w:t xml:space="preserve">z jamy nosowo-gardłowej </w:t>
      </w:r>
      <w:proofErr w:type="spellStart"/>
      <w:r w:rsidRPr="00845F8F">
        <w:rPr>
          <w:rFonts w:asciiTheme="minorHAnsi" w:hAnsiTheme="minorHAnsi" w:cs="Segoe UI"/>
          <w:color w:val="212121"/>
          <w:sz w:val="24"/>
          <w:szCs w:val="16"/>
        </w:rPr>
        <w:t>RT-PCR</w:t>
      </w:r>
      <w:proofErr w:type="spellEnd"/>
      <w:r w:rsidRPr="00845F8F">
        <w:rPr>
          <w:rFonts w:asciiTheme="minorHAnsi" w:hAnsiTheme="minorHAnsi" w:cs="Segoe UI"/>
          <w:color w:val="212121"/>
          <w:sz w:val="24"/>
          <w:szCs w:val="16"/>
        </w:rPr>
        <w:t xml:space="preserve"> w kierunku </w:t>
      </w:r>
      <w:r w:rsidR="00DB41E9">
        <w:rPr>
          <w:rFonts w:asciiTheme="minorHAnsi" w:hAnsiTheme="minorHAnsi" w:cs="Segoe UI"/>
          <w:color w:val="212121"/>
          <w:sz w:val="24"/>
          <w:szCs w:val="16"/>
        </w:rPr>
        <w:t>SARS-Cov2</w:t>
      </w:r>
      <w:r w:rsidR="006E0E10">
        <w:rPr>
          <w:rFonts w:asciiTheme="minorHAnsi" w:hAnsiTheme="minorHAnsi" w:cs="Segoe UI"/>
          <w:color w:val="212121"/>
          <w:sz w:val="24"/>
          <w:szCs w:val="16"/>
        </w:rPr>
        <w:t xml:space="preserve"> </w:t>
      </w:r>
      <w:r w:rsidRPr="00845F8F">
        <w:rPr>
          <w:rFonts w:asciiTheme="minorHAnsi" w:hAnsiTheme="minorHAnsi" w:cs="Segoe UI"/>
          <w:color w:val="212121"/>
          <w:sz w:val="24"/>
          <w:szCs w:val="16"/>
        </w:rPr>
        <w:t xml:space="preserve">z ciężkim ostrym zespołem oddechowym typu 2. </w:t>
      </w:r>
    </w:p>
    <w:p w:rsidR="00845F8F" w:rsidRPr="00845F8F" w:rsidRDefault="00845F8F" w:rsidP="00DB41E9">
      <w:pPr>
        <w:pStyle w:val="HTML-wstpniesformatowany"/>
        <w:shd w:val="clear" w:color="auto" w:fill="F8F9FA"/>
        <w:spacing w:line="360" w:lineRule="atLeast"/>
        <w:jc w:val="both"/>
        <w:rPr>
          <w:rFonts w:asciiTheme="minorHAnsi" w:hAnsiTheme="minorHAnsi" w:cs="Segoe UI"/>
          <w:color w:val="212121"/>
          <w:sz w:val="24"/>
          <w:szCs w:val="16"/>
        </w:rPr>
      </w:pPr>
      <w:r w:rsidRPr="00845F8F">
        <w:rPr>
          <w:rFonts w:asciiTheme="minorHAnsi" w:hAnsiTheme="minorHAnsi" w:cs="Segoe UI"/>
          <w:color w:val="212121"/>
          <w:sz w:val="24"/>
          <w:szCs w:val="16"/>
        </w:rPr>
        <w:t>Badanie jest zarejestrowane w ClinicalTrials.gov, NCT04276688.</w:t>
      </w:r>
    </w:p>
    <w:p w:rsidR="006E0E10" w:rsidRPr="006E0E10" w:rsidRDefault="006E0E10" w:rsidP="006E0E10">
      <w:pPr>
        <w:pStyle w:val="HTML-wstpniesformatowany"/>
        <w:shd w:val="clear" w:color="auto" w:fill="F8F9FA"/>
        <w:spacing w:line="360" w:lineRule="atLeast"/>
        <w:rPr>
          <w:rFonts w:asciiTheme="minorHAnsi" w:hAnsiTheme="minorHAnsi" w:cs="Segoe UI"/>
          <w:color w:val="212121"/>
          <w:sz w:val="24"/>
          <w:szCs w:val="16"/>
        </w:rPr>
      </w:pPr>
    </w:p>
    <w:p w:rsidR="006E0E10" w:rsidRPr="006E0E10" w:rsidRDefault="006E0E10" w:rsidP="006E0E10">
      <w:pPr>
        <w:pStyle w:val="HTML-wstpniesformatowany"/>
        <w:shd w:val="clear" w:color="auto" w:fill="F8F9FA"/>
        <w:spacing w:line="360" w:lineRule="atLeast"/>
        <w:jc w:val="both"/>
        <w:rPr>
          <w:rFonts w:asciiTheme="minorHAnsi" w:hAnsiTheme="minorHAnsi" w:cs="Segoe UI"/>
          <w:color w:val="212121"/>
          <w:sz w:val="24"/>
          <w:szCs w:val="16"/>
        </w:rPr>
      </w:pPr>
      <w:r w:rsidRPr="00DE12B9">
        <w:rPr>
          <w:rFonts w:asciiTheme="minorHAnsi" w:hAnsiTheme="minorHAnsi" w:cs="Segoe UI"/>
          <w:b/>
          <w:color w:val="212121"/>
          <w:sz w:val="24"/>
          <w:szCs w:val="16"/>
          <w:u w:val="single"/>
        </w:rPr>
        <w:t>Wyniki</w:t>
      </w:r>
      <w:r w:rsidRPr="006E0E10">
        <w:rPr>
          <w:rFonts w:asciiTheme="minorHAnsi" w:hAnsiTheme="minorHAnsi" w:cs="Segoe UI"/>
          <w:color w:val="212121"/>
          <w:sz w:val="24"/>
          <w:szCs w:val="16"/>
        </w:rPr>
        <w:t>: międz</w:t>
      </w:r>
      <w:r w:rsidR="00DB41E9">
        <w:rPr>
          <w:rFonts w:asciiTheme="minorHAnsi" w:hAnsiTheme="minorHAnsi" w:cs="Segoe UI"/>
          <w:color w:val="212121"/>
          <w:sz w:val="24"/>
          <w:szCs w:val="16"/>
        </w:rPr>
        <w:t>y 10 lutego a 20 marca 2020 r. zrekrutowano 127 pacjentów -</w:t>
      </w:r>
      <w:r w:rsidRPr="006E0E10">
        <w:rPr>
          <w:rFonts w:asciiTheme="minorHAnsi" w:hAnsiTheme="minorHAnsi" w:cs="Segoe UI"/>
          <w:color w:val="212121"/>
          <w:sz w:val="24"/>
          <w:szCs w:val="16"/>
        </w:rPr>
        <w:t xml:space="preserve"> 86 zostało losowo przyd</w:t>
      </w:r>
      <w:r w:rsidR="00DB41E9">
        <w:rPr>
          <w:rFonts w:asciiTheme="minorHAnsi" w:hAnsiTheme="minorHAnsi" w:cs="Segoe UI"/>
          <w:color w:val="212121"/>
          <w:sz w:val="24"/>
          <w:szCs w:val="16"/>
        </w:rPr>
        <w:t xml:space="preserve">zielonych do grupy skojarzonej </w:t>
      </w:r>
      <w:r w:rsidRPr="006E0E10">
        <w:rPr>
          <w:rFonts w:asciiTheme="minorHAnsi" w:hAnsiTheme="minorHAnsi" w:cs="Segoe UI"/>
          <w:color w:val="212121"/>
          <w:sz w:val="24"/>
          <w:szCs w:val="16"/>
        </w:rPr>
        <w:t xml:space="preserve">a 41 do grupy kontrolnej. Mediana liczby dni od wystąpienia objawów do rozpoczęcia leczenia w ramach badania wynosiła 5 dni (IQR 3-7). </w:t>
      </w:r>
      <w:r w:rsidR="00101B94">
        <w:rPr>
          <w:rFonts w:asciiTheme="minorHAnsi" w:hAnsiTheme="minorHAnsi" w:cs="Segoe UI"/>
          <w:color w:val="212121"/>
          <w:sz w:val="24"/>
          <w:szCs w:val="16"/>
        </w:rPr>
        <w:br/>
      </w:r>
      <w:r w:rsidRPr="006E0E10">
        <w:rPr>
          <w:rFonts w:asciiTheme="minorHAnsi" w:hAnsiTheme="minorHAnsi" w:cs="Segoe UI"/>
          <w:color w:val="212121"/>
          <w:sz w:val="24"/>
          <w:szCs w:val="16"/>
        </w:rPr>
        <w:t xml:space="preserve">W grupie skojarzonej mediana czasu od rozpoczęcia leczenia do ujemnego wymazu z jamy nosowo-gardłowej (7 dni [IQR 5-11]) była znacznie krótsza niż w grupie kontrolnej (12 dni </w:t>
      </w:r>
      <w:r w:rsidR="00101B94">
        <w:rPr>
          <w:rFonts w:asciiTheme="minorHAnsi" w:hAnsiTheme="minorHAnsi" w:cs="Segoe UI"/>
          <w:color w:val="212121"/>
          <w:sz w:val="24"/>
          <w:szCs w:val="16"/>
        </w:rPr>
        <w:br/>
      </w:r>
      <w:r>
        <w:rPr>
          <w:rFonts w:asciiTheme="minorHAnsi" w:hAnsiTheme="minorHAnsi" w:cs="Segoe UI"/>
          <w:color w:val="212121"/>
          <w:sz w:val="24"/>
          <w:szCs w:val="16"/>
        </w:rPr>
        <w:t>[8-15]</w:t>
      </w:r>
      <w:r w:rsidR="00101B94">
        <w:rPr>
          <w:rFonts w:asciiTheme="minorHAnsi" w:hAnsiTheme="minorHAnsi" w:cs="Segoe UI"/>
          <w:color w:val="212121"/>
          <w:sz w:val="24"/>
          <w:szCs w:val="16"/>
        </w:rPr>
        <w:t>)</w:t>
      </w:r>
      <w:r>
        <w:rPr>
          <w:rFonts w:asciiTheme="minorHAnsi" w:hAnsiTheme="minorHAnsi" w:cs="Segoe UI"/>
          <w:color w:val="212121"/>
          <w:sz w:val="24"/>
          <w:szCs w:val="16"/>
        </w:rPr>
        <w:t xml:space="preserve">; współczynnik ryzyka 4.37 [95% CI </w:t>
      </w:r>
      <w:r w:rsidR="00DE12B9">
        <w:rPr>
          <w:rFonts w:asciiTheme="minorHAnsi" w:hAnsiTheme="minorHAnsi" w:cs="Segoe UI"/>
          <w:color w:val="212121"/>
          <w:sz w:val="24"/>
          <w:szCs w:val="16"/>
        </w:rPr>
        <w:t>[</w:t>
      </w:r>
      <w:r>
        <w:rPr>
          <w:rFonts w:asciiTheme="minorHAnsi" w:hAnsiTheme="minorHAnsi" w:cs="Segoe UI"/>
          <w:color w:val="212121"/>
          <w:sz w:val="24"/>
          <w:szCs w:val="16"/>
        </w:rPr>
        <w:t>1.86-10.24], p = 0.</w:t>
      </w:r>
      <w:r w:rsidRPr="006E0E10">
        <w:rPr>
          <w:rFonts w:asciiTheme="minorHAnsi" w:hAnsiTheme="minorHAnsi" w:cs="Segoe UI"/>
          <w:color w:val="212121"/>
          <w:sz w:val="24"/>
          <w:szCs w:val="16"/>
        </w:rPr>
        <w:t xml:space="preserve">0010). Zdarzenia niepożądane obejmowały </w:t>
      </w:r>
      <w:r w:rsidR="00101B94" w:rsidRPr="006E0E10">
        <w:rPr>
          <w:rFonts w:asciiTheme="minorHAnsi" w:hAnsiTheme="minorHAnsi" w:cs="Segoe UI"/>
          <w:color w:val="212121"/>
          <w:sz w:val="24"/>
          <w:szCs w:val="16"/>
        </w:rPr>
        <w:t>samo ograniczające</w:t>
      </w:r>
      <w:r w:rsidRPr="006E0E10">
        <w:rPr>
          <w:rFonts w:asciiTheme="minorHAnsi" w:hAnsiTheme="minorHAnsi" w:cs="Segoe UI"/>
          <w:color w:val="212121"/>
          <w:sz w:val="24"/>
          <w:szCs w:val="16"/>
        </w:rPr>
        <w:t xml:space="preserve"> się nudności i biegunkę </w:t>
      </w:r>
      <w:r>
        <w:rPr>
          <w:rFonts w:asciiTheme="minorHAnsi" w:hAnsiTheme="minorHAnsi" w:cs="Segoe UI"/>
          <w:color w:val="212121"/>
          <w:sz w:val="24"/>
          <w:szCs w:val="16"/>
        </w:rPr>
        <w:t>nie wykazano</w:t>
      </w:r>
      <w:r w:rsidR="00DD0AFF">
        <w:rPr>
          <w:rFonts w:asciiTheme="minorHAnsi" w:hAnsiTheme="minorHAnsi" w:cs="Segoe UI"/>
          <w:color w:val="212121"/>
          <w:sz w:val="24"/>
          <w:szCs w:val="16"/>
        </w:rPr>
        <w:t xml:space="preserve"> różnic między obiema</w:t>
      </w:r>
      <w:r w:rsidRPr="006E0E10">
        <w:rPr>
          <w:rFonts w:asciiTheme="minorHAnsi" w:hAnsiTheme="minorHAnsi" w:cs="Segoe UI"/>
          <w:color w:val="212121"/>
          <w:sz w:val="24"/>
          <w:szCs w:val="16"/>
        </w:rPr>
        <w:t xml:space="preserve"> grupami. Jeden pacjent z grupy kontrolnej odstawił </w:t>
      </w:r>
      <w:proofErr w:type="spellStart"/>
      <w:r w:rsidRPr="006E0E10">
        <w:rPr>
          <w:rFonts w:asciiTheme="minorHAnsi" w:hAnsiTheme="minorHAnsi" w:cs="Segoe UI"/>
          <w:color w:val="212121"/>
          <w:sz w:val="24"/>
          <w:szCs w:val="16"/>
        </w:rPr>
        <w:t>lopinawir-rytonawir</w:t>
      </w:r>
      <w:proofErr w:type="spellEnd"/>
      <w:r w:rsidRPr="006E0E10">
        <w:rPr>
          <w:rFonts w:asciiTheme="minorHAnsi" w:hAnsiTheme="minorHAnsi" w:cs="Segoe UI"/>
          <w:color w:val="212121"/>
          <w:sz w:val="24"/>
          <w:szCs w:val="16"/>
        </w:rPr>
        <w:t xml:space="preserve"> z powodu biochemicznego zapalenia wątroby. Żaden pacjent nie zmarł w trakcie badania.</w:t>
      </w:r>
    </w:p>
    <w:p w:rsidR="006E0E10" w:rsidRDefault="006E0E10" w:rsidP="006E0E10">
      <w:pPr>
        <w:pStyle w:val="HTML-wstpniesformatowany"/>
        <w:shd w:val="clear" w:color="auto" w:fill="F8F9FA"/>
        <w:spacing w:line="360" w:lineRule="atLeast"/>
        <w:rPr>
          <w:rFonts w:ascii="inherit" w:hAnsi="inherit"/>
          <w:color w:val="222222"/>
          <w:sz w:val="28"/>
          <w:szCs w:val="28"/>
        </w:rPr>
      </w:pPr>
    </w:p>
    <w:p w:rsidR="00BC6E49" w:rsidRPr="007C6106" w:rsidRDefault="006E0E10" w:rsidP="007C6106">
      <w:pPr>
        <w:pStyle w:val="HTML-wstpniesformatowany"/>
        <w:shd w:val="clear" w:color="auto" w:fill="F8F9FA"/>
        <w:spacing w:line="360" w:lineRule="atLeast"/>
        <w:jc w:val="both"/>
        <w:rPr>
          <w:rFonts w:ascii="inherit" w:hAnsi="inherit"/>
          <w:color w:val="222222"/>
          <w:sz w:val="28"/>
          <w:szCs w:val="28"/>
        </w:rPr>
      </w:pPr>
      <w:r w:rsidRPr="00DE12B9">
        <w:rPr>
          <w:rFonts w:asciiTheme="minorHAnsi" w:hAnsiTheme="minorHAnsi" w:cs="Segoe UI"/>
          <w:b/>
          <w:color w:val="212121"/>
          <w:sz w:val="24"/>
          <w:szCs w:val="16"/>
          <w:u w:val="single"/>
        </w:rPr>
        <w:t>Interpretacja</w:t>
      </w:r>
      <w:r w:rsidRPr="00D32AA7">
        <w:rPr>
          <w:rFonts w:asciiTheme="minorHAnsi" w:hAnsiTheme="minorHAnsi" w:cs="Segoe UI"/>
          <w:color w:val="212121"/>
          <w:sz w:val="24"/>
          <w:szCs w:val="16"/>
        </w:rPr>
        <w:t xml:space="preserve">: </w:t>
      </w:r>
      <w:r w:rsidRPr="00DD0AFF">
        <w:rPr>
          <w:rFonts w:asciiTheme="minorHAnsi" w:hAnsiTheme="minorHAnsi" w:cs="Segoe UI"/>
          <w:b/>
          <w:color w:val="212121"/>
          <w:sz w:val="24"/>
          <w:szCs w:val="16"/>
        </w:rPr>
        <w:t xml:space="preserve">Wczesna potrójna terapia przeciwwirusowa była bezpieczna i skuteczniejsza niż sam </w:t>
      </w:r>
      <w:proofErr w:type="spellStart"/>
      <w:r w:rsidRPr="00DD0AFF">
        <w:rPr>
          <w:rFonts w:asciiTheme="minorHAnsi" w:hAnsiTheme="minorHAnsi" w:cs="Segoe UI"/>
          <w:b/>
          <w:color w:val="212121"/>
          <w:sz w:val="24"/>
          <w:szCs w:val="16"/>
        </w:rPr>
        <w:t>lopinawir-rytonawir</w:t>
      </w:r>
      <w:proofErr w:type="spellEnd"/>
      <w:r w:rsidRPr="00DD0AFF">
        <w:rPr>
          <w:rFonts w:asciiTheme="minorHAnsi" w:hAnsiTheme="minorHAnsi" w:cs="Segoe UI"/>
          <w:b/>
          <w:color w:val="212121"/>
          <w:sz w:val="24"/>
          <w:szCs w:val="16"/>
        </w:rPr>
        <w:t xml:space="preserve"> w łagodzeniu objawów i skracaniu czasu wydalania wirusa</w:t>
      </w:r>
      <w:r w:rsidR="00DE12B9" w:rsidRPr="00DD0AFF">
        <w:rPr>
          <w:rFonts w:asciiTheme="minorHAnsi" w:hAnsiTheme="minorHAnsi" w:cs="Segoe UI"/>
          <w:b/>
          <w:color w:val="212121"/>
          <w:sz w:val="24"/>
          <w:szCs w:val="16"/>
        </w:rPr>
        <w:br/>
      </w:r>
      <w:r w:rsidRPr="00DD0AFF">
        <w:rPr>
          <w:rFonts w:asciiTheme="minorHAnsi" w:hAnsiTheme="minorHAnsi" w:cs="Segoe UI"/>
          <w:b/>
          <w:color w:val="212121"/>
          <w:sz w:val="24"/>
          <w:szCs w:val="16"/>
        </w:rPr>
        <w:t>i pobytu w szpitalu u pacjentów z łagodnym do umiarkowanego COVID-19</w:t>
      </w:r>
      <w:r w:rsidRPr="00D32AA7">
        <w:rPr>
          <w:rFonts w:asciiTheme="minorHAnsi" w:hAnsiTheme="minorHAnsi" w:cs="Segoe UI"/>
          <w:color w:val="212121"/>
          <w:sz w:val="24"/>
          <w:szCs w:val="16"/>
        </w:rPr>
        <w:t xml:space="preserve">. </w:t>
      </w:r>
      <w:r w:rsidR="00D32AA7" w:rsidRPr="00D32AA7">
        <w:rPr>
          <w:rFonts w:asciiTheme="minorHAnsi" w:hAnsiTheme="minorHAnsi" w:cs="Segoe UI"/>
          <w:color w:val="212121"/>
          <w:sz w:val="24"/>
          <w:szCs w:val="16"/>
        </w:rPr>
        <w:t xml:space="preserve">Dalsze badania </w:t>
      </w:r>
      <w:r w:rsidRPr="00D32AA7">
        <w:rPr>
          <w:rFonts w:asciiTheme="minorHAnsi" w:hAnsiTheme="minorHAnsi" w:cs="Segoe UI"/>
          <w:color w:val="212121"/>
          <w:sz w:val="24"/>
          <w:szCs w:val="16"/>
        </w:rPr>
        <w:t>kliniczne podwójnej terapii przeciwwirusowej z</w:t>
      </w:r>
      <w:r w:rsidR="00D32AA7" w:rsidRPr="00D32AA7">
        <w:rPr>
          <w:rFonts w:asciiTheme="minorHAnsi" w:hAnsiTheme="minorHAnsi" w:cs="Segoe UI"/>
          <w:color w:val="212121"/>
          <w:sz w:val="24"/>
          <w:szCs w:val="16"/>
        </w:rPr>
        <w:t xml:space="preserve"> użyciem </w:t>
      </w:r>
      <w:r w:rsidR="00DD0AFF">
        <w:rPr>
          <w:rFonts w:asciiTheme="minorHAnsi" w:hAnsiTheme="minorHAnsi" w:cs="Segoe UI"/>
          <w:color w:val="212121"/>
          <w:sz w:val="24"/>
          <w:szCs w:val="16"/>
        </w:rPr>
        <w:t xml:space="preserve"> interferonu</w:t>
      </w:r>
      <w:r w:rsidRPr="00D32AA7">
        <w:rPr>
          <w:rFonts w:asciiTheme="minorHAnsi" w:hAnsiTheme="minorHAnsi" w:cs="Segoe UI"/>
          <w:color w:val="212121"/>
          <w:sz w:val="24"/>
          <w:szCs w:val="16"/>
        </w:rPr>
        <w:t xml:space="preserve"> beta-1b </w:t>
      </w:r>
      <w:r w:rsidR="00D32AA7" w:rsidRPr="00D32AA7">
        <w:rPr>
          <w:rFonts w:asciiTheme="minorHAnsi" w:hAnsiTheme="minorHAnsi" w:cs="Segoe UI"/>
          <w:color w:val="212121"/>
          <w:sz w:val="24"/>
          <w:szCs w:val="16"/>
        </w:rPr>
        <w:t>wydają się</w:t>
      </w:r>
      <w:r w:rsidRPr="00D32AA7">
        <w:rPr>
          <w:rFonts w:asciiTheme="minorHAnsi" w:hAnsiTheme="minorHAnsi" w:cs="Segoe UI"/>
          <w:color w:val="212121"/>
          <w:sz w:val="24"/>
          <w:szCs w:val="16"/>
        </w:rPr>
        <w:t xml:space="preserve"> uzasadnione</w:t>
      </w:r>
      <w:r w:rsidR="00D32AA7" w:rsidRPr="00D32AA7">
        <w:rPr>
          <w:rFonts w:asciiTheme="minorHAnsi" w:hAnsiTheme="minorHAnsi" w:cs="Segoe UI"/>
          <w:color w:val="212121"/>
          <w:sz w:val="24"/>
          <w:szCs w:val="16"/>
        </w:rPr>
        <w:t>.</w:t>
      </w:r>
    </w:p>
    <w:sectPr w:rsidR="00BC6E49" w:rsidRPr="007C6106" w:rsidSect="008A6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5625"/>
    <w:multiLevelType w:val="multilevel"/>
    <w:tmpl w:val="BA6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47B79"/>
    <w:multiLevelType w:val="hybridMultilevel"/>
    <w:tmpl w:val="2FE0305A"/>
    <w:lvl w:ilvl="0" w:tplc="05606F4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41829"/>
    <w:rsid w:val="00101B94"/>
    <w:rsid w:val="006E0E10"/>
    <w:rsid w:val="007C6106"/>
    <w:rsid w:val="00845F8F"/>
    <w:rsid w:val="008A66E8"/>
    <w:rsid w:val="00A7100C"/>
    <w:rsid w:val="00BC6E49"/>
    <w:rsid w:val="00D32AA7"/>
    <w:rsid w:val="00D40DB6"/>
    <w:rsid w:val="00D437EE"/>
    <w:rsid w:val="00DB41E9"/>
    <w:rsid w:val="00DD0AFF"/>
    <w:rsid w:val="00DE12B9"/>
    <w:rsid w:val="00ED5840"/>
    <w:rsid w:val="00F4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6E8"/>
  </w:style>
  <w:style w:type="paragraph" w:styleId="Nagwek1">
    <w:name w:val="heading 1"/>
    <w:basedOn w:val="Normalny"/>
    <w:next w:val="Normalny"/>
    <w:link w:val="Nagwek1Znak"/>
    <w:uiPriority w:val="9"/>
    <w:qFormat/>
    <w:rsid w:val="00F41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41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418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4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18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4182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1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riod">
    <w:name w:val="period"/>
    <w:basedOn w:val="Domylnaczcionkaakapitu"/>
    <w:rsid w:val="00F41829"/>
  </w:style>
  <w:style w:type="character" w:customStyle="1" w:styleId="cit">
    <w:name w:val="cit"/>
    <w:basedOn w:val="Domylnaczcionkaakapitu"/>
    <w:rsid w:val="00F4182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1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182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4</cp:revision>
  <dcterms:created xsi:type="dcterms:W3CDTF">2020-08-12T10:31:00Z</dcterms:created>
  <dcterms:modified xsi:type="dcterms:W3CDTF">2020-08-12T10:32:00Z</dcterms:modified>
</cp:coreProperties>
</file>